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2549" w14:textId="52AA0514" w:rsidR="00B43D73" w:rsidRDefault="00F008AF">
      <w:pPr>
        <w:rPr>
          <w:b/>
        </w:rPr>
      </w:pPr>
      <w:r>
        <w:rPr>
          <w:b/>
        </w:rPr>
        <w:t>Pacific University Inauguration Symposium for Dr. Coyle</w:t>
      </w:r>
    </w:p>
    <w:p w14:paraId="6A4B1CB6" w14:textId="5C29AF3A" w:rsidR="00B43D73" w:rsidRDefault="00000000">
      <w:pPr>
        <w:rPr>
          <w:b/>
        </w:rPr>
      </w:pPr>
      <w:r>
        <w:rPr>
          <w:b/>
        </w:rPr>
        <w:t>Demystifying Dynamic Assessment: Decision Tree Tutorial</w:t>
      </w:r>
    </w:p>
    <w:p w14:paraId="27ED2178" w14:textId="46343B22" w:rsidR="00B43D73" w:rsidRPr="00F008AF" w:rsidRDefault="0084419F">
      <w:pPr>
        <w:rPr>
          <w:b/>
        </w:rPr>
        <w:sectPr w:rsidR="00B43D73" w:rsidRPr="00F008AF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6A696EA" wp14:editId="7D76A05A">
            <wp:simplePos x="0" y="0"/>
            <wp:positionH relativeFrom="page">
              <wp:posOffset>518538</wp:posOffset>
            </wp:positionH>
            <wp:positionV relativeFrom="page">
              <wp:posOffset>1676130</wp:posOffset>
            </wp:positionV>
            <wp:extent cx="8975658" cy="5570976"/>
            <wp:effectExtent l="12700" t="12700" r="16510" b="17145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3005" cy="5587949"/>
                    </a:xfrm>
                    <a:prstGeom prst="rect">
                      <a:avLst/>
                    </a:prstGeom>
                    <a:ln w="127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</w:rPr>
        <w:t xml:space="preserve">Brittany Halladay, B.S., </w:t>
      </w:r>
      <w:r w:rsidR="00F008AF">
        <w:rPr>
          <w:b/>
        </w:rPr>
        <w:t xml:space="preserve">Taylor </w:t>
      </w:r>
      <w:proofErr w:type="spellStart"/>
      <w:r w:rsidR="00F008AF">
        <w:rPr>
          <w:b/>
        </w:rPr>
        <w:t>Whelchel</w:t>
      </w:r>
      <w:proofErr w:type="spellEnd"/>
      <w:r w:rsidR="00F008AF">
        <w:rPr>
          <w:b/>
        </w:rPr>
        <w:t xml:space="preserve">, B.A., </w:t>
      </w:r>
      <w:r w:rsidR="00000000">
        <w:rPr>
          <w:b/>
        </w:rPr>
        <w:t>&amp; Ma</w:t>
      </w:r>
      <w:r>
        <w:rPr>
          <w:b/>
        </w:rPr>
        <w:t xml:space="preserve">ry </w:t>
      </w:r>
      <w:r w:rsidR="00000000">
        <w:rPr>
          <w:b/>
        </w:rPr>
        <w:t>Mitchell, PhD, CCC-SLP</w:t>
      </w:r>
    </w:p>
    <w:p w14:paraId="0DC09472" w14:textId="77777777" w:rsidR="00B43D73" w:rsidRDefault="00000000">
      <w:pPr>
        <w:rPr>
          <w:b/>
        </w:rPr>
      </w:pPr>
      <w:r>
        <w:rPr>
          <w:b/>
        </w:rPr>
        <w:lastRenderedPageBreak/>
        <w:t>References for Modifiability Scales</w:t>
      </w:r>
    </w:p>
    <w:p w14:paraId="300B950F" w14:textId="77777777" w:rsidR="00B43D73" w:rsidRDefault="00000000">
      <w:pPr>
        <w:rPr>
          <w:highlight w:val="yellow"/>
        </w:rPr>
      </w:pPr>
      <w:r>
        <w:t>(Search on Google Scholar &amp; article is downloadable for free)</w:t>
      </w:r>
    </w:p>
    <w:p w14:paraId="47622A67" w14:textId="77777777" w:rsidR="00B43D73" w:rsidRDefault="00B43D73" w:rsidP="00F008AF">
      <w:pPr>
        <w:spacing w:line="240" w:lineRule="auto"/>
        <w:ind w:left="720"/>
      </w:pPr>
    </w:p>
    <w:p w14:paraId="1C0195F9" w14:textId="77777777" w:rsidR="00B43D73" w:rsidRDefault="00000000">
      <w:pPr>
        <w:numPr>
          <w:ilvl w:val="0"/>
          <w:numId w:val="2"/>
        </w:numPr>
        <w:spacing w:line="240" w:lineRule="auto"/>
        <w:rPr>
          <w:color w:val="231F20"/>
        </w:rPr>
      </w:pPr>
      <w:r>
        <w:rPr>
          <w:color w:val="231F20"/>
        </w:rPr>
        <w:t>Modifiability Scale &amp; Learning Strategies Checklist</w:t>
      </w:r>
    </w:p>
    <w:p w14:paraId="03E34229" w14:textId="77777777" w:rsidR="00B43D73" w:rsidRDefault="00000000">
      <w:pPr>
        <w:spacing w:line="240" w:lineRule="auto"/>
        <w:ind w:left="720"/>
      </w:pPr>
      <w:r>
        <w:rPr>
          <w:color w:val="231F20"/>
        </w:rPr>
        <w:t xml:space="preserve">See Peña, E. D. (2000). Measurement of modifiability in children from culturally and linguistically diverse backgrounds. </w:t>
      </w:r>
      <w:r>
        <w:rPr>
          <w:i/>
          <w:color w:val="231F20"/>
        </w:rPr>
        <w:t>Communication</w:t>
      </w:r>
      <w:r>
        <w:rPr>
          <w:color w:val="231F20"/>
        </w:rPr>
        <w:t xml:space="preserve"> </w:t>
      </w:r>
      <w:r>
        <w:rPr>
          <w:i/>
          <w:color w:val="231F20"/>
        </w:rPr>
        <w:t>Disorders Quarterly, 21</w:t>
      </w:r>
      <w:r>
        <w:rPr>
          <w:color w:val="231F20"/>
        </w:rPr>
        <w:t xml:space="preserve">(2), 87–97. </w:t>
      </w:r>
      <w:hyperlink r:id="rId6">
        <w:r>
          <w:rPr>
            <w:color w:val="1155CC"/>
            <w:u w:val="single"/>
          </w:rPr>
          <w:t>https://doi.org/10.1177/152574010002100203</w:t>
        </w:r>
      </w:hyperlink>
    </w:p>
    <w:p w14:paraId="406DC40F" w14:textId="77777777" w:rsidR="00B43D73" w:rsidRDefault="00B43D73">
      <w:pPr>
        <w:spacing w:line="240" w:lineRule="auto"/>
        <w:ind w:left="720"/>
      </w:pPr>
    </w:p>
    <w:p w14:paraId="4E0750E2" w14:textId="77777777" w:rsidR="00B43D73" w:rsidRDefault="00000000">
      <w:pPr>
        <w:numPr>
          <w:ilvl w:val="0"/>
          <w:numId w:val="2"/>
        </w:numPr>
        <w:spacing w:line="240" w:lineRule="auto"/>
        <w:rPr>
          <w:color w:val="231F20"/>
        </w:rPr>
      </w:pPr>
      <w:r>
        <w:t>Mediated Learning Observation</w:t>
      </w:r>
    </w:p>
    <w:p w14:paraId="09B6DB5A" w14:textId="77777777" w:rsidR="00B43D73" w:rsidRDefault="00000000">
      <w:pPr>
        <w:spacing w:line="240" w:lineRule="auto"/>
        <w:ind w:left="720"/>
      </w:pPr>
      <w:r>
        <w:t xml:space="preserve">See </w:t>
      </w:r>
      <w:r>
        <w:rPr>
          <w:color w:val="231F20"/>
        </w:rPr>
        <w:t xml:space="preserve">Peña, E. D., </w:t>
      </w:r>
      <w:proofErr w:type="spellStart"/>
      <w:r>
        <w:rPr>
          <w:color w:val="231F20"/>
        </w:rPr>
        <w:t>Resendiz</w:t>
      </w:r>
      <w:proofErr w:type="spellEnd"/>
      <w:r>
        <w:rPr>
          <w:color w:val="231F20"/>
        </w:rPr>
        <w:t xml:space="preserve">, Maria, &amp; Gillam, R. (2007). The role of clinical judgements of modifiability in the diagnosis of language impairment. </w:t>
      </w:r>
      <w:r>
        <w:rPr>
          <w:i/>
          <w:color w:val="231F20"/>
        </w:rPr>
        <w:t>Advances in Speech-Language Pathology, 9</w:t>
      </w:r>
      <w:r>
        <w:rPr>
          <w:color w:val="231F20"/>
        </w:rPr>
        <w:t xml:space="preserve">(4), 332-345. </w:t>
      </w:r>
      <w:hyperlink r:id="rId7">
        <w:r>
          <w:rPr>
            <w:color w:val="1155CC"/>
            <w:u w:val="single"/>
          </w:rPr>
          <w:t>https://doi.org/10.1080/14417040701413738</w:t>
        </w:r>
      </w:hyperlink>
    </w:p>
    <w:p w14:paraId="4709B8BA" w14:textId="77777777" w:rsidR="00B43D73" w:rsidRDefault="00B43D73">
      <w:pPr>
        <w:spacing w:line="240" w:lineRule="auto"/>
        <w:ind w:left="720"/>
      </w:pPr>
    </w:p>
    <w:p w14:paraId="5B0097C7" w14:textId="77777777" w:rsidR="00B43D73" w:rsidRDefault="00000000">
      <w:pPr>
        <w:numPr>
          <w:ilvl w:val="0"/>
          <w:numId w:val="2"/>
        </w:numPr>
        <w:spacing w:line="240" w:lineRule="auto"/>
        <w:rPr>
          <w:color w:val="231F20"/>
        </w:rPr>
      </w:pPr>
      <w:proofErr w:type="spellStart"/>
      <w:r>
        <w:t>Postteaching</w:t>
      </w:r>
      <w:proofErr w:type="spellEnd"/>
      <w:r>
        <w:t xml:space="preserve"> Modifiability Scale</w:t>
      </w:r>
    </w:p>
    <w:p w14:paraId="40CB8FD3" w14:textId="77777777" w:rsidR="00B43D73" w:rsidRDefault="00000000">
      <w:pPr>
        <w:spacing w:line="240" w:lineRule="auto"/>
        <w:ind w:left="720"/>
        <w:rPr>
          <w:color w:val="231F20"/>
        </w:rPr>
      </w:pPr>
      <w:r>
        <w:t xml:space="preserve">See </w:t>
      </w:r>
      <w:r>
        <w:rPr>
          <w:color w:val="231F20"/>
        </w:rPr>
        <w:t xml:space="preserve">Petersen, D. B., </w:t>
      </w:r>
      <w:proofErr w:type="spellStart"/>
      <w:r>
        <w:rPr>
          <w:color w:val="231F20"/>
        </w:rPr>
        <w:t>Tonn</w:t>
      </w:r>
      <w:proofErr w:type="spellEnd"/>
      <w:r>
        <w:rPr>
          <w:color w:val="231F20"/>
        </w:rPr>
        <w:t xml:space="preserve">, P., Spencer, T. D., &amp; Foster, M. E. (2020). The classification accuracy of a dynamic assessment of inferential word learning for bilingual English/Spanish-speaking school age children. </w:t>
      </w:r>
      <w:r>
        <w:rPr>
          <w:i/>
          <w:color w:val="231F20"/>
        </w:rPr>
        <w:t>Language, Speech, and Hearing Services in Schools,</w:t>
      </w:r>
      <w:r>
        <w:rPr>
          <w:color w:val="231F20"/>
        </w:rPr>
        <w:t xml:space="preserve"> </w:t>
      </w:r>
      <w:r>
        <w:rPr>
          <w:i/>
          <w:color w:val="231F20"/>
        </w:rPr>
        <w:t>51</w:t>
      </w:r>
      <w:r>
        <w:rPr>
          <w:color w:val="231F20"/>
        </w:rPr>
        <w:t xml:space="preserve">(1), 144–164. </w:t>
      </w:r>
      <w:hyperlink r:id="rId8">
        <w:r>
          <w:rPr>
            <w:color w:val="1155CC"/>
            <w:u w:val="single"/>
          </w:rPr>
          <w:t>https://doi.org/10.1044/2019_LSHSS-18-0129</w:t>
        </w:r>
      </w:hyperlink>
    </w:p>
    <w:p w14:paraId="5C596605" w14:textId="77777777" w:rsidR="00B43D73" w:rsidRDefault="00B43D73">
      <w:pPr>
        <w:spacing w:line="240" w:lineRule="auto"/>
        <w:rPr>
          <w:color w:val="231F20"/>
        </w:rPr>
      </w:pPr>
    </w:p>
    <w:p w14:paraId="6CABBBE2" w14:textId="77777777" w:rsidR="00B43D73" w:rsidRDefault="00000000">
      <w:pPr>
        <w:widowControl w:val="0"/>
        <w:spacing w:line="216" w:lineRule="auto"/>
        <w:rPr>
          <w:b/>
        </w:rPr>
      </w:pPr>
      <w:r>
        <w:rPr>
          <w:b/>
        </w:rPr>
        <w:t>References for Dynamic Assessment Systematic Review &amp; Meta-Analysis</w:t>
      </w:r>
    </w:p>
    <w:p w14:paraId="1353C6CA" w14:textId="77777777" w:rsidR="00B43D73" w:rsidRDefault="00B43D73">
      <w:pPr>
        <w:widowControl w:val="0"/>
        <w:spacing w:line="216" w:lineRule="auto"/>
      </w:pPr>
    </w:p>
    <w:p w14:paraId="0FFDE643" w14:textId="77777777" w:rsidR="00B43D73" w:rsidRDefault="00000000">
      <w:pPr>
        <w:widowControl w:val="0"/>
        <w:spacing w:line="240" w:lineRule="auto"/>
      </w:pPr>
      <w:r>
        <w:t xml:space="preserve">Bamford, C. K., </w:t>
      </w:r>
      <w:proofErr w:type="spellStart"/>
      <w:r>
        <w:t>Masso</w:t>
      </w:r>
      <w:proofErr w:type="spellEnd"/>
      <w:r>
        <w:t xml:space="preserve">, S., Baker, E., &amp; Ballard, K., J. (2022). Dynamic assessment for children </w:t>
      </w:r>
    </w:p>
    <w:p w14:paraId="1A7758A2" w14:textId="77777777" w:rsidR="00B43D73" w:rsidRDefault="00000000">
      <w:pPr>
        <w:widowControl w:val="0"/>
        <w:spacing w:line="240" w:lineRule="auto"/>
        <w:ind w:left="720"/>
      </w:pPr>
      <w:r>
        <w:t>with communication disorders: A systematic scoping review and framework. American Journal of Speech-Language Pathology, 31, 1878-1893. https://pubs.asha.org/doi/10.1044/2022_AJSLP-21-00349</w:t>
      </w:r>
    </w:p>
    <w:p w14:paraId="6F8FEC7B" w14:textId="77777777" w:rsidR="00B43D73" w:rsidRDefault="00B43D73">
      <w:pPr>
        <w:widowControl w:val="0"/>
        <w:spacing w:line="216" w:lineRule="auto"/>
      </w:pPr>
    </w:p>
    <w:p w14:paraId="7F701C45" w14:textId="77777777" w:rsidR="00B43D73" w:rsidRDefault="00000000">
      <w:pPr>
        <w:widowControl w:val="0"/>
        <w:spacing w:line="240" w:lineRule="auto"/>
      </w:pPr>
      <w:r>
        <w:t xml:space="preserve">Hunt, E., Nang, C., Meldrum, S., &amp; Armstrong, E. (2022). Can dynamic assessment identify </w:t>
      </w:r>
    </w:p>
    <w:p w14:paraId="0AF9915C" w14:textId="77777777" w:rsidR="00B43D73" w:rsidRDefault="00000000">
      <w:pPr>
        <w:widowControl w:val="0"/>
        <w:spacing w:line="240" w:lineRule="auto"/>
        <w:ind w:left="720"/>
      </w:pPr>
      <w:r>
        <w:t xml:space="preserve">language disorder in multilingual children? Clinical applications from a systematic review. </w:t>
      </w:r>
      <w:r>
        <w:rPr>
          <w:i/>
        </w:rPr>
        <w:t>Language, Speech, and Hearing Services in Schools, 53</w:t>
      </w:r>
      <w:r>
        <w:t>, 598-625. https://pubs.asha.org/doi/10.1044/2021_LSHSS-21-00094</w:t>
      </w:r>
    </w:p>
    <w:p w14:paraId="234A2781" w14:textId="77777777" w:rsidR="00B43D73" w:rsidRDefault="00B43D73">
      <w:pPr>
        <w:widowControl w:val="0"/>
        <w:spacing w:line="216" w:lineRule="auto"/>
      </w:pPr>
    </w:p>
    <w:p w14:paraId="6EDA325D" w14:textId="77777777" w:rsidR="00B43D73" w:rsidRDefault="00000000">
      <w:pPr>
        <w:widowControl w:val="0"/>
        <w:spacing w:line="216" w:lineRule="auto"/>
      </w:pPr>
      <w:r>
        <w:t xml:space="preserve">Orellana, C. I., Wada, R., &amp; Gillam, R. (2019). The use of dynamic assessment for the diagnosis </w:t>
      </w:r>
    </w:p>
    <w:p w14:paraId="43CB03F5" w14:textId="77777777" w:rsidR="00B43D73" w:rsidRDefault="00000000">
      <w:pPr>
        <w:widowControl w:val="0"/>
        <w:spacing w:line="216" w:lineRule="auto"/>
        <w:ind w:left="720"/>
      </w:pPr>
      <w:r>
        <w:t xml:space="preserve">of language disorders in bilingual children: A meta-analysis. </w:t>
      </w:r>
      <w:r>
        <w:rPr>
          <w:i/>
        </w:rPr>
        <w:t>American Journal of Speech-Language Pathology, 28</w:t>
      </w:r>
      <w:r>
        <w:t xml:space="preserve">, 1298-1317. </w:t>
      </w:r>
      <w:r>
        <w:rPr>
          <w:color w:val="231F20"/>
        </w:rPr>
        <w:t>https://doi.org/10.1044/2019_AJSLP-18-0202</w:t>
      </w:r>
    </w:p>
    <w:p w14:paraId="5E63B6AD" w14:textId="77777777" w:rsidR="00B43D73" w:rsidRDefault="00B43D73">
      <w:pPr>
        <w:widowControl w:val="0"/>
        <w:spacing w:line="216" w:lineRule="auto"/>
      </w:pPr>
    </w:p>
    <w:p w14:paraId="32640189" w14:textId="77777777" w:rsidR="00B43D73" w:rsidRDefault="00B43D73">
      <w:pPr>
        <w:widowControl w:val="0"/>
        <w:spacing w:line="216" w:lineRule="auto"/>
        <w:ind w:left="720"/>
        <w:rPr>
          <w:color w:val="231F20"/>
        </w:rPr>
      </w:pPr>
    </w:p>
    <w:p w14:paraId="419BB3D2" w14:textId="77777777" w:rsidR="00B43D73" w:rsidRDefault="00000000">
      <w:pPr>
        <w:widowControl w:val="0"/>
        <w:spacing w:line="216" w:lineRule="auto"/>
        <w:rPr>
          <w:b/>
        </w:rPr>
      </w:pPr>
      <w:r>
        <w:rPr>
          <w:b/>
        </w:rPr>
        <w:t>References for Tutorials</w:t>
      </w:r>
    </w:p>
    <w:p w14:paraId="0D4E4AF8" w14:textId="77777777" w:rsidR="00B43D73" w:rsidRDefault="00B43D73">
      <w:pPr>
        <w:widowControl w:val="0"/>
        <w:spacing w:line="216" w:lineRule="auto"/>
        <w:ind w:firstLine="720"/>
        <w:rPr>
          <w:color w:val="231F20"/>
        </w:rPr>
      </w:pPr>
    </w:p>
    <w:p w14:paraId="0F9ED11B" w14:textId="77777777" w:rsidR="00B43D73" w:rsidRDefault="00000000">
      <w:pPr>
        <w:widowControl w:val="0"/>
        <w:spacing w:line="240" w:lineRule="auto"/>
      </w:pPr>
      <w:r>
        <w:t xml:space="preserve">Castilla-Earls, A., </w:t>
      </w:r>
      <w:proofErr w:type="spellStart"/>
      <w:r>
        <w:t>Bedore</w:t>
      </w:r>
      <w:proofErr w:type="spellEnd"/>
      <w:r>
        <w:t xml:space="preserve">, L., Rojas, R., Fabiano-Smith, L., Pruitt-Lord, S., </w:t>
      </w:r>
      <w:proofErr w:type="spellStart"/>
      <w:r>
        <w:t>Adelaida</w:t>
      </w:r>
      <w:proofErr w:type="spellEnd"/>
      <w:r>
        <w:t xml:space="preserve"> Restrepo, </w:t>
      </w:r>
    </w:p>
    <w:p w14:paraId="5AC8B773" w14:textId="77777777" w:rsidR="00B43D73" w:rsidRDefault="00000000">
      <w:pPr>
        <w:widowControl w:val="0"/>
        <w:spacing w:line="240" w:lineRule="auto"/>
        <w:ind w:left="720"/>
      </w:pPr>
      <w:r>
        <w:t xml:space="preserve">M., &amp; Peña, E. (2020). Beyond scores: Using converging evidence to determine speech and language services eligibility for dual language learners. American Journal of Speech-Language Pathology and Audiology, 29, 1116-1132. </w:t>
      </w:r>
      <w:r>
        <w:rPr>
          <w:color w:val="231F20"/>
        </w:rPr>
        <w:t>https://doi.org/10.1044/2020_AJSLP-19-00179</w:t>
      </w:r>
      <w:r>
        <w:t xml:space="preserve"> </w:t>
      </w:r>
    </w:p>
    <w:p w14:paraId="6B0858E6" w14:textId="77777777" w:rsidR="00B43D73" w:rsidRDefault="00B43D73">
      <w:pPr>
        <w:widowControl w:val="0"/>
        <w:spacing w:line="240" w:lineRule="auto"/>
      </w:pPr>
    </w:p>
    <w:p w14:paraId="3A474F3D" w14:textId="77777777" w:rsidR="00B43D73" w:rsidRDefault="00000000">
      <w:pPr>
        <w:widowControl w:val="0"/>
      </w:pPr>
      <w:r>
        <w:t xml:space="preserve">Mitchell, M. P. (2021, November 18). Designing dynamic assessment for vocabulary. Poster </w:t>
      </w:r>
    </w:p>
    <w:p w14:paraId="5CB7AF59" w14:textId="77777777" w:rsidR="00B43D73" w:rsidRDefault="00000000">
      <w:pPr>
        <w:widowControl w:val="0"/>
        <w:ind w:left="720"/>
      </w:pPr>
      <w:r>
        <w:t>session at the American Speech-Language-Hearing Association National Convention, Washington DC.</w:t>
      </w:r>
    </w:p>
    <w:p w14:paraId="0DCEE185" w14:textId="4AF29721" w:rsidR="00B43D73" w:rsidRDefault="00B43D73">
      <w:pPr>
        <w:widowControl w:val="0"/>
      </w:pPr>
    </w:p>
    <w:p w14:paraId="579C9F55" w14:textId="77777777" w:rsidR="0084419F" w:rsidRDefault="0084419F">
      <w:pPr>
        <w:widowControl w:val="0"/>
      </w:pPr>
    </w:p>
    <w:p w14:paraId="0E5FF958" w14:textId="77777777" w:rsidR="00F008AF" w:rsidRDefault="00F008AF">
      <w:pPr>
        <w:widowControl w:val="0"/>
      </w:pPr>
    </w:p>
    <w:p w14:paraId="54AE6C47" w14:textId="5E93888D" w:rsidR="00B43D73" w:rsidRDefault="0084419F">
      <w:pPr>
        <w:widowControl w:val="0"/>
      </w:pPr>
      <w:r>
        <w:lastRenderedPageBreak/>
        <w:t xml:space="preserve">Elizabeth </w:t>
      </w:r>
      <w:r w:rsidR="00000000">
        <w:t>Pena</w:t>
      </w:r>
      <w:r>
        <w:t>’s</w:t>
      </w:r>
      <w:r w:rsidR="00000000">
        <w:t xml:space="preserve"> professional development modules through ASHA: </w:t>
      </w:r>
      <w:hyperlink r:id="rId9">
        <w:r w:rsidR="00000000">
          <w:rPr>
            <w:color w:val="1155CC"/>
            <w:u w:val="single"/>
          </w:rPr>
          <w:t>https://www.asha.org/practice/multicultural/dynamic-assessment/</w:t>
        </w:r>
      </w:hyperlink>
    </w:p>
    <w:p w14:paraId="427CCC24" w14:textId="77777777" w:rsidR="00B43D73" w:rsidRDefault="00B43D73">
      <w:pPr>
        <w:widowControl w:val="0"/>
      </w:pPr>
    </w:p>
    <w:p w14:paraId="48B04D94" w14:textId="0C95746E" w:rsidR="00B43D73" w:rsidRDefault="00F008AF">
      <w:pPr>
        <w:widowControl w:val="0"/>
      </w:pPr>
      <w:r>
        <w:t xml:space="preserve">Bender, Franklin W. (n.d.). University of Oregon Dynamic Assessment (Overview of Tools) </w:t>
      </w:r>
    </w:p>
    <w:p w14:paraId="2E9D1210" w14:textId="77777777" w:rsidR="00B43D73" w:rsidRDefault="00000000">
      <w:pPr>
        <w:widowControl w:val="0"/>
      </w:pPr>
      <w:hyperlink r:id="rId10">
        <w:r>
          <w:rPr>
            <w:color w:val="1155CC"/>
            <w:u w:val="single"/>
          </w:rPr>
          <w:t>https://coe.uoregon.edu/cds/files/2016/04/Dynamic-Assessment-Info-Protocol-and-Scoring-Criteria.pdf</w:t>
        </w:r>
      </w:hyperlink>
    </w:p>
    <w:p w14:paraId="5ACACDD9" w14:textId="77777777" w:rsidR="00B43D73" w:rsidRDefault="00B43D73">
      <w:pPr>
        <w:widowControl w:val="0"/>
      </w:pPr>
    </w:p>
    <w:p w14:paraId="3147D619" w14:textId="77777777" w:rsidR="00B43D73" w:rsidRDefault="00000000">
      <w:pPr>
        <w:widowControl w:val="0"/>
        <w:rPr>
          <w:b/>
        </w:rPr>
      </w:pPr>
      <w:r>
        <w:rPr>
          <w:b/>
        </w:rPr>
        <w:t>Additional Resources</w:t>
      </w:r>
    </w:p>
    <w:p w14:paraId="2BED55E0" w14:textId="77777777" w:rsidR="00B43D73" w:rsidRDefault="00B43D73">
      <w:pPr>
        <w:widowControl w:val="0"/>
        <w:rPr>
          <w:b/>
        </w:rPr>
      </w:pPr>
    </w:p>
    <w:p w14:paraId="4B042F37" w14:textId="77777777" w:rsidR="00B43D73" w:rsidRDefault="00000000">
      <w:pPr>
        <w:widowControl w:val="0"/>
      </w:pPr>
      <w:hyperlink r:id="rId11">
        <w:proofErr w:type="spellStart"/>
        <w:r>
          <w:rPr>
            <w:color w:val="1155CC"/>
            <w:u w:val="single"/>
          </w:rPr>
          <w:t>ReadWorks</w:t>
        </w:r>
        <w:proofErr w:type="spellEnd"/>
      </w:hyperlink>
    </w:p>
    <w:p w14:paraId="7A943DB3" w14:textId="77777777" w:rsidR="00B43D73" w:rsidRDefault="00000000">
      <w:pPr>
        <w:widowControl w:val="0"/>
      </w:pPr>
      <w:hyperlink r:id="rId12">
        <w:proofErr w:type="spellStart"/>
        <w:r>
          <w:rPr>
            <w:color w:val="1155CC"/>
            <w:u w:val="single"/>
          </w:rPr>
          <w:t>NewsELA</w:t>
        </w:r>
        <w:proofErr w:type="spellEnd"/>
      </w:hyperlink>
    </w:p>
    <w:p w14:paraId="240FEB5F" w14:textId="77777777" w:rsidR="00B43D73" w:rsidRDefault="00000000">
      <w:pPr>
        <w:widowControl w:val="0"/>
      </w:pPr>
      <w:hyperlink r:id="rId13">
        <w:r>
          <w:rPr>
            <w:color w:val="1155CC"/>
            <w:u w:val="single"/>
          </w:rPr>
          <w:t>Leveled Literacy</w:t>
        </w:r>
      </w:hyperlink>
    </w:p>
    <w:p w14:paraId="5EC0D48A" w14:textId="77777777" w:rsidR="00B43D73" w:rsidRDefault="00000000">
      <w:pPr>
        <w:spacing w:line="240" w:lineRule="auto"/>
      </w:pPr>
      <w:hyperlink r:id="rId14">
        <w:proofErr w:type="spellStart"/>
        <w:r>
          <w:rPr>
            <w:color w:val="1155CC"/>
            <w:u w:val="single"/>
          </w:rPr>
          <w:t>Wonderopolis</w:t>
        </w:r>
        <w:proofErr w:type="spellEnd"/>
      </w:hyperlink>
    </w:p>
    <w:sectPr w:rsidR="00B43D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57F"/>
    <w:multiLevelType w:val="multilevel"/>
    <w:tmpl w:val="03E0E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6E7178"/>
    <w:multiLevelType w:val="multilevel"/>
    <w:tmpl w:val="D3B8B7E0"/>
    <w:lvl w:ilvl="0">
      <w:start w:val="1"/>
      <w:numFmt w:val="bullet"/>
      <w:lvlText w:val="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6943296">
    <w:abstractNumId w:val="1"/>
  </w:num>
  <w:num w:numId="2" w16cid:durableId="158965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73"/>
    <w:rsid w:val="006F7E5C"/>
    <w:rsid w:val="0084419F"/>
    <w:rsid w:val="00B43D73"/>
    <w:rsid w:val="00F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93D12"/>
  <w15:docId w15:val="{F6D4E74F-083A-B744-ADAE-15171394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44/2019_LSHSS-18-0129" TargetMode="External"/><Relationship Id="rId13" Type="http://schemas.openxmlformats.org/officeDocument/2006/relationships/hyperlink" Target="http://www.leveledliterac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4417040701413738" TargetMode="External"/><Relationship Id="rId12" Type="http://schemas.openxmlformats.org/officeDocument/2006/relationships/hyperlink" Target="https://newsel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52574010002100203" TargetMode="External"/><Relationship Id="rId11" Type="http://schemas.openxmlformats.org/officeDocument/2006/relationships/hyperlink" Target="https://www.readworks.org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coe.uoregon.edu/cds/files/2016/04/Dynamic-Assessment-Info-Protocol-and-Scoring-Criter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ha.org/practice/multicultural/dynamic-assessment/" TargetMode="External"/><Relationship Id="rId14" Type="http://schemas.openxmlformats.org/officeDocument/2006/relationships/hyperlink" Target="https://wonderopol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2023-02-07T22:29:00Z</cp:lastPrinted>
  <dcterms:created xsi:type="dcterms:W3CDTF">2023-02-07T22:29:00Z</dcterms:created>
  <dcterms:modified xsi:type="dcterms:W3CDTF">2023-02-07T22:29:00Z</dcterms:modified>
</cp:coreProperties>
</file>