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6CC7" w:rsidRDefault="00000000">
      <w:pPr>
        <w:rPr>
          <w:sz w:val="22"/>
          <w:szCs w:val="22"/>
        </w:rPr>
      </w:pPr>
      <w:r>
        <w:rPr>
          <w:sz w:val="22"/>
          <w:szCs w:val="22"/>
          <w:u w:val="single"/>
        </w:rPr>
        <w:t>Dynamic Assessment</w:t>
      </w:r>
      <w:r>
        <w:rPr>
          <w:sz w:val="22"/>
          <w:szCs w:val="22"/>
        </w:rPr>
        <w:t>. A dynamic assessment was administered to assess C’s ability to learn unfamiliar vocabulary using a test-teach-retest approach. The table below shows how the student performed independently on the pretests and posttests, which were the same.</w:t>
      </w:r>
    </w:p>
    <w:p w:rsidR="00C86CC7" w:rsidRDefault="00C86CC7">
      <w:pPr>
        <w:rPr>
          <w:sz w:val="22"/>
          <w:szCs w:val="22"/>
        </w:rPr>
      </w:pPr>
    </w:p>
    <w:tbl>
      <w:tblPr>
        <w:tblStyle w:val="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590"/>
      </w:tblGrid>
      <w:tr w:rsidR="00C86CC7">
        <w:trPr>
          <w:trHeight w:val="311"/>
        </w:trPr>
        <w:tc>
          <w:tcPr>
            <w:tcW w:w="4585" w:type="dxa"/>
          </w:tcPr>
          <w:p w:rsidR="00C86CC7" w:rsidRDefault="00000000">
            <w:pPr>
              <w:jc w:val="center"/>
              <w:rPr>
                <w:b/>
                <w:sz w:val="22"/>
                <w:szCs w:val="22"/>
              </w:rPr>
            </w:pPr>
            <w:r>
              <w:rPr>
                <w:b/>
                <w:sz w:val="22"/>
                <w:szCs w:val="22"/>
              </w:rPr>
              <w:t>Pretest</w:t>
            </w:r>
          </w:p>
        </w:tc>
        <w:tc>
          <w:tcPr>
            <w:tcW w:w="4590" w:type="dxa"/>
          </w:tcPr>
          <w:p w:rsidR="00C86CC7" w:rsidRDefault="00000000">
            <w:pPr>
              <w:jc w:val="center"/>
              <w:rPr>
                <w:b/>
                <w:sz w:val="22"/>
                <w:szCs w:val="22"/>
              </w:rPr>
            </w:pPr>
            <w:r>
              <w:rPr>
                <w:b/>
                <w:sz w:val="22"/>
                <w:szCs w:val="22"/>
              </w:rPr>
              <w:t>Posttest</w:t>
            </w:r>
          </w:p>
        </w:tc>
      </w:tr>
      <w:tr w:rsidR="00C86CC7">
        <w:trPr>
          <w:trHeight w:val="311"/>
        </w:trPr>
        <w:tc>
          <w:tcPr>
            <w:tcW w:w="4585" w:type="dxa"/>
          </w:tcPr>
          <w:p w:rsidR="00C86CC7" w:rsidRDefault="00000000">
            <w:pPr>
              <w:rPr>
                <w:sz w:val="22"/>
                <w:szCs w:val="22"/>
              </w:rPr>
            </w:pPr>
            <w:r>
              <w:rPr>
                <w:sz w:val="22"/>
                <w:szCs w:val="22"/>
              </w:rPr>
              <w:t xml:space="preserve">Synonyms </w:t>
            </w:r>
          </w:p>
          <w:p w:rsidR="00C86CC7" w:rsidRDefault="00000000">
            <w:pPr>
              <w:rPr>
                <w:sz w:val="22"/>
                <w:szCs w:val="22"/>
              </w:rPr>
            </w:pPr>
            <w:r>
              <w:rPr>
                <w:sz w:val="22"/>
                <w:szCs w:val="22"/>
              </w:rPr>
              <w:t xml:space="preserve">0/ 10 answered correctly. Of these invent, inflate, and clutter words were chosen for the teaching sessions. </w:t>
            </w:r>
          </w:p>
          <w:p w:rsidR="00C86CC7" w:rsidRDefault="00C86CC7">
            <w:pPr>
              <w:rPr>
                <w:sz w:val="22"/>
                <w:szCs w:val="22"/>
              </w:rPr>
            </w:pPr>
          </w:p>
        </w:tc>
        <w:tc>
          <w:tcPr>
            <w:tcW w:w="4590" w:type="dxa"/>
          </w:tcPr>
          <w:p w:rsidR="00C86CC7" w:rsidRDefault="00000000">
            <w:pPr>
              <w:rPr>
                <w:sz w:val="22"/>
                <w:szCs w:val="22"/>
              </w:rPr>
            </w:pPr>
            <w:r>
              <w:rPr>
                <w:sz w:val="22"/>
                <w:szCs w:val="22"/>
              </w:rPr>
              <w:t xml:space="preserve">Synonyms </w:t>
            </w:r>
          </w:p>
          <w:p w:rsidR="00C86CC7" w:rsidRDefault="00000000">
            <w:pPr>
              <w:rPr>
                <w:sz w:val="22"/>
                <w:szCs w:val="22"/>
              </w:rPr>
            </w:pPr>
            <w:r>
              <w:rPr>
                <w:sz w:val="22"/>
                <w:szCs w:val="22"/>
              </w:rPr>
              <w:t xml:space="preserve">2/ 10 answered correctly. Of these 2/3 from the teaching sessions were answered correctly. </w:t>
            </w:r>
          </w:p>
          <w:p w:rsidR="00C86CC7" w:rsidRDefault="00C86CC7">
            <w:pPr>
              <w:rPr>
                <w:sz w:val="22"/>
                <w:szCs w:val="22"/>
              </w:rPr>
            </w:pPr>
          </w:p>
        </w:tc>
      </w:tr>
    </w:tbl>
    <w:p w:rsidR="00C86CC7" w:rsidRDefault="00C86CC7">
      <w:pPr>
        <w:rPr>
          <w:sz w:val="22"/>
          <w:szCs w:val="22"/>
        </w:rPr>
      </w:pPr>
    </w:p>
    <w:p w:rsidR="00C86CC7" w:rsidRDefault="00000000">
      <w:pPr>
        <w:rPr>
          <w:sz w:val="22"/>
          <w:szCs w:val="22"/>
        </w:rPr>
      </w:pPr>
      <w:r>
        <w:rPr>
          <w:b/>
          <w:sz w:val="22"/>
          <w:szCs w:val="22"/>
        </w:rPr>
        <w:t>Teaching Sessions</w:t>
      </w:r>
      <w:r>
        <w:rPr>
          <w:sz w:val="22"/>
          <w:szCs w:val="22"/>
        </w:rPr>
        <w:t xml:space="preserve">. C participated in 2 teaching sessions for 25 - 30 minutes each teaching sessions incorporated basic components of mediated teaching. Three words that were incorrectly answered on the pretest were taught using robust vocabulary instruction. </w:t>
      </w:r>
    </w:p>
    <w:p w:rsidR="00C86CC7" w:rsidRDefault="00000000">
      <w:pPr>
        <w:numPr>
          <w:ilvl w:val="0"/>
          <w:numId w:val="1"/>
        </w:numPr>
        <w:rPr>
          <w:sz w:val="22"/>
          <w:szCs w:val="22"/>
        </w:rPr>
      </w:pPr>
      <w:r>
        <w:rPr>
          <w:sz w:val="22"/>
          <w:szCs w:val="22"/>
        </w:rPr>
        <w:t xml:space="preserve">The targeted words were: Invent, inflate, and clutter. </w:t>
      </w:r>
    </w:p>
    <w:p w:rsidR="00C86CC7" w:rsidRDefault="00000000">
      <w:pPr>
        <w:numPr>
          <w:ilvl w:val="0"/>
          <w:numId w:val="1"/>
        </w:numPr>
        <w:rPr>
          <w:sz w:val="22"/>
          <w:szCs w:val="22"/>
        </w:rPr>
      </w:pPr>
      <w:r>
        <w:rPr>
          <w:sz w:val="22"/>
          <w:szCs w:val="22"/>
        </w:rPr>
        <w:t xml:space="preserve">The number of days that passed between teaching sessions was: 1 day between teach 1 and teach 2. The post-test directly followed teach 2. </w:t>
      </w:r>
    </w:p>
    <w:p w:rsidR="009D1D0A" w:rsidRDefault="009D1D0A">
      <w:pPr>
        <w:rPr>
          <w:sz w:val="22"/>
          <w:szCs w:val="22"/>
        </w:rPr>
      </w:pPr>
    </w:p>
    <w:p w:rsidR="00C86CC7" w:rsidRDefault="009D1D0A">
      <w:pPr>
        <w:rPr>
          <w:i/>
          <w:sz w:val="22"/>
          <w:szCs w:val="22"/>
        </w:rPr>
      </w:pPr>
      <w:r>
        <w:rPr>
          <w:sz w:val="22"/>
          <w:szCs w:val="22"/>
        </w:rPr>
        <w:t>C’s</w:t>
      </w:r>
      <w:r w:rsidR="00000000">
        <w:rPr>
          <w:sz w:val="22"/>
          <w:szCs w:val="22"/>
        </w:rPr>
        <w:t xml:space="preserve"> learning behaviors after each teaching session are presented below. The learning strategies are based on Bender’s (2024) Learning Strategy Checklist where learning behaviors are rated on a scale of 1-5 with corresponding descriptions of performance at each rating. Scores of 1 indicate higher degrees of learning challenges where scores of 5 reflect no learning challenges. </w:t>
      </w:r>
    </w:p>
    <w:p w:rsidR="00C86CC7" w:rsidRDefault="00C86CC7">
      <w:pPr>
        <w:rPr>
          <w:i/>
          <w:sz w:val="22"/>
          <w:szCs w:val="22"/>
        </w:rPr>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4620"/>
      </w:tblGrid>
      <w:tr w:rsidR="00C86CC7">
        <w:tc>
          <w:tcPr>
            <w:tcW w:w="4740" w:type="dxa"/>
          </w:tcPr>
          <w:p w:rsidR="00C86CC7" w:rsidRDefault="00000000">
            <w:pPr>
              <w:jc w:val="center"/>
              <w:rPr>
                <w:b/>
                <w:sz w:val="22"/>
                <w:szCs w:val="22"/>
              </w:rPr>
            </w:pPr>
            <w:r>
              <w:rPr>
                <w:b/>
                <w:sz w:val="22"/>
                <w:szCs w:val="22"/>
              </w:rPr>
              <w:t>Learning Strategies</w:t>
            </w:r>
          </w:p>
        </w:tc>
        <w:tc>
          <w:tcPr>
            <w:tcW w:w="4620" w:type="dxa"/>
          </w:tcPr>
          <w:p w:rsidR="00C86CC7" w:rsidRDefault="00000000">
            <w:pPr>
              <w:jc w:val="center"/>
              <w:rPr>
                <w:b/>
                <w:sz w:val="22"/>
                <w:szCs w:val="22"/>
              </w:rPr>
            </w:pPr>
            <w:r>
              <w:rPr>
                <w:b/>
                <w:sz w:val="22"/>
                <w:szCs w:val="22"/>
              </w:rPr>
              <w:t>Ratings &amp; Observation Notes</w:t>
            </w:r>
          </w:p>
        </w:tc>
      </w:tr>
      <w:tr w:rsidR="00C86CC7">
        <w:tc>
          <w:tcPr>
            <w:tcW w:w="4740" w:type="dxa"/>
          </w:tcPr>
          <w:p w:rsidR="00C86CC7" w:rsidRDefault="00000000">
            <w:pPr>
              <w:rPr>
                <w:sz w:val="22"/>
                <w:szCs w:val="22"/>
              </w:rPr>
            </w:pPr>
            <w:r>
              <w:rPr>
                <w:sz w:val="22"/>
                <w:szCs w:val="22"/>
              </w:rPr>
              <w:t>Attention</w:t>
            </w:r>
          </w:p>
        </w:tc>
        <w:tc>
          <w:tcPr>
            <w:tcW w:w="4620" w:type="dxa"/>
          </w:tcPr>
          <w:p w:rsidR="00C86CC7" w:rsidRDefault="00000000">
            <w:pPr>
              <w:rPr>
                <w:sz w:val="22"/>
                <w:szCs w:val="22"/>
              </w:rPr>
            </w:pPr>
            <w:r>
              <w:rPr>
                <w:b/>
                <w:sz w:val="22"/>
                <w:szCs w:val="22"/>
              </w:rPr>
              <w:t>Teach 1</w:t>
            </w:r>
            <w:r>
              <w:rPr>
                <w:sz w:val="22"/>
                <w:szCs w:val="22"/>
              </w:rPr>
              <w:t xml:space="preserve">: 3               </w:t>
            </w:r>
            <w:r>
              <w:rPr>
                <w:b/>
                <w:sz w:val="22"/>
                <w:szCs w:val="22"/>
              </w:rPr>
              <w:t xml:space="preserve"> Teach 2: </w:t>
            </w:r>
            <w:r>
              <w:rPr>
                <w:sz w:val="22"/>
                <w:szCs w:val="22"/>
              </w:rPr>
              <w:t>3.5</w:t>
            </w:r>
          </w:p>
        </w:tc>
      </w:tr>
      <w:tr w:rsidR="00C86CC7">
        <w:trPr>
          <w:trHeight w:val="300"/>
        </w:trPr>
        <w:tc>
          <w:tcPr>
            <w:tcW w:w="4740" w:type="dxa"/>
          </w:tcPr>
          <w:p w:rsidR="00C86CC7" w:rsidRDefault="00000000">
            <w:pPr>
              <w:rPr>
                <w:sz w:val="22"/>
                <w:szCs w:val="22"/>
              </w:rPr>
            </w:pPr>
            <w:r>
              <w:rPr>
                <w:sz w:val="22"/>
                <w:szCs w:val="22"/>
              </w:rPr>
              <w:t>Task Specific Performance</w:t>
            </w:r>
          </w:p>
        </w:tc>
        <w:tc>
          <w:tcPr>
            <w:tcW w:w="4620" w:type="dxa"/>
          </w:tcPr>
          <w:p w:rsidR="00C86CC7" w:rsidRDefault="00000000">
            <w:pPr>
              <w:rPr>
                <w:sz w:val="22"/>
                <w:szCs w:val="22"/>
              </w:rPr>
            </w:pPr>
            <w:r>
              <w:rPr>
                <w:b/>
                <w:sz w:val="22"/>
                <w:szCs w:val="22"/>
              </w:rPr>
              <w:t>Teach 1:</w:t>
            </w:r>
            <w:r>
              <w:rPr>
                <w:sz w:val="22"/>
                <w:szCs w:val="22"/>
              </w:rPr>
              <w:t xml:space="preserve"> 3                </w:t>
            </w:r>
            <w:r>
              <w:rPr>
                <w:b/>
                <w:sz w:val="22"/>
                <w:szCs w:val="22"/>
              </w:rPr>
              <w:t xml:space="preserve">Teach 2: </w:t>
            </w:r>
            <w:r>
              <w:rPr>
                <w:sz w:val="22"/>
                <w:szCs w:val="22"/>
              </w:rPr>
              <w:t>2</w:t>
            </w:r>
          </w:p>
        </w:tc>
      </w:tr>
      <w:tr w:rsidR="00C86CC7">
        <w:tc>
          <w:tcPr>
            <w:tcW w:w="4740" w:type="dxa"/>
          </w:tcPr>
          <w:p w:rsidR="00C86CC7" w:rsidRDefault="00000000">
            <w:pPr>
              <w:rPr>
                <w:sz w:val="22"/>
                <w:szCs w:val="22"/>
              </w:rPr>
            </w:pPr>
            <w:r>
              <w:rPr>
                <w:sz w:val="22"/>
                <w:szCs w:val="22"/>
              </w:rPr>
              <w:t>Planning</w:t>
            </w:r>
          </w:p>
        </w:tc>
        <w:tc>
          <w:tcPr>
            <w:tcW w:w="4620" w:type="dxa"/>
          </w:tcPr>
          <w:p w:rsidR="00C86CC7" w:rsidRDefault="00000000">
            <w:pPr>
              <w:rPr>
                <w:sz w:val="22"/>
                <w:szCs w:val="22"/>
              </w:rPr>
            </w:pPr>
            <w:r>
              <w:rPr>
                <w:b/>
                <w:sz w:val="22"/>
                <w:szCs w:val="22"/>
              </w:rPr>
              <w:t>Teach 1:</w:t>
            </w:r>
            <w:r>
              <w:rPr>
                <w:sz w:val="22"/>
                <w:szCs w:val="22"/>
              </w:rPr>
              <w:t xml:space="preserve"> N/A            </w:t>
            </w:r>
            <w:r>
              <w:rPr>
                <w:b/>
                <w:sz w:val="22"/>
                <w:szCs w:val="22"/>
              </w:rPr>
              <w:t xml:space="preserve">Teach 2: </w:t>
            </w:r>
            <w:r>
              <w:rPr>
                <w:sz w:val="22"/>
                <w:szCs w:val="22"/>
              </w:rPr>
              <w:t>N/A</w:t>
            </w:r>
          </w:p>
        </w:tc>
      </w:tr>
      <w:tr w:rsidR="00C86CC7">
        <w:tc>
          <w:tcPr>
            <w:tcW w:w="4740" w:type="dxa"/>
          </w:tcPr>
          <w:p w:rsidR="00C86CC7" w:rsidRDefault="00000000">
            <w:pPr>
              <w:rPr>
                <w:sz w:val="22"/>
                <w:szCs w:val="22"/>
              </w:rPr>
            </w:pPr>
            <w:r>
              <w:rPr>
                <w:sz w:val="22"/>
                <w:szCs w:val="22"/>
              </w:rPr>
              <w:t>Self-Regulation</w:t>
            </w:r>
          </w:p>
        </w:tc>
        <w:tc>
          <w:tcPr>
            <w:tcW w:w="4620" w:type="dxa"/>
          </w:tcPr>
          <w:p w:rsidR="00C86CC7" w:rsidRDefault="00000000">
            <w:pPr>
              <w:rPr>
                <w:sz w:val="22"/>
                <w:szCs w:val="22"/>
              </w:rPr>
            </w:pPr>
            <w:r>
              <w:rPr>
                <w:b/>
                <w:sz w:val="22"/>
                <w:szCs w:val="22"/>
              </w:rPr>
              <w:t>Teach 1:</w:t>
            </w:r>
            <w:r>
              <w:rPr>
                <w:sz w:val="22"/>
                <w:szCs w:val="22"/>
              </w:rPr>
              <w:t xml:space="preserve"> 2                 </w:t>
            </w:r>
            <w:r>
              <w:rPr>
                <w:b/>
                <w:sz w:val="22"/>
                <w:szCs w:val="22"/>
              </w:rPr>
              <w:t xml:space="preserve">Teach 2: </w:t>
            </w:r>
            <w:r>
              <w:rPr>
                <w:sz w:val="22"/>
                <w:szCs w:val="22"/>
              </w:rPr>
              <w:t>3</w:t>
            </w:r>
          </w:p>
        </w:tc>
      </w:tr>
      <w:tr w:rsidR="00C86CC7">
        <w:tc>
          <w:tcPr>
            <w:tcW w:w="4740" w:type="dxa"/>
          </w:tcPr>
          <w:p w:rsidR="00C86CC7" w:rsidRDefault="00000000">
            <w:pPr>
              <w:rPr>
                <w:sz w:val="22"/>
                <w:szCs w:val="22"/>
              </w:rPr>
            </w:pPr>
            <w:r>
              <w:rPr>
                <w:sz w:val="22"/>
                <w:szCs w:val="22"/>
              </w:rPr>
              <w:t>Motivation</w:t>
            </w:r>
          </w:p>
        </w:tc>
        <w:tc>
          <w:tcPr>
            <w:tcW w:w="4620" w:type="dxa"/>
          </w:tcPr>
          <w:p w:rsidR="00C86CC7" w:rsidRDefault="00000000">
            <w:pPr>
              <w:rPr>
                <w:sz w:val="22"/>
                <w:szCs w:val="22"/>
              </w:rPr>
            </w:pPr>
            <w:r>
              <w:rPr>
                <w:b/>
                <w:sz w:val="22"/>
                <w:szCs w:val="22"/>
              </w:rPr>
              <w:t>Teach 1:</w:t>
            </w:r>
            <w:r>
              <w:rPr>
                <w:sz w:val="22"/>
                <w:szCs w:val="22"/>
              </w:rPr>
              <w:t xml:space="preserve"> 3.5               </w:t>
            </w:r>
            <w:r>
              <w:rPr>
                <w:b/>
                <w:sz w:val="22"/>
                <w:szCs w:val="22"/>
              </w:rPr>
              <w:t xml:space="preserve">Teach 2: </w:t>
            </w:r>
            <w:r>
              <w:rPr>
                <w:sz w:val="22"/>
                <w:szCs w:val="22"/>
              </w:rPr>
              <w:t>4</w:t>
            </w:r>
          </w:p>
        </w:tc>
      </w:tr>
      <w:tr w:rsidR="00C86CC7">
        <w:tc>
          <w:tcPr>
            <w:tcW w:w="4740" w:type="dxa"/>
          </w:tcPr>
          <w:p w:rsidR="00C86CC7" w:rsidRDefault="00000000">
            <w:pPr>
              <w:rPr>
                <w:sz w:val="22"/>
                <w:szCs w:val="22"/>
              </w:rPr>
            </w:pPr>
            <w:r>
              <w:rPr>
                <w:sz w:val="22"/>
                <w:szCs w:val="22"/>
              </w:rPr>
              <w:t>Interaction with Adults</w:t>
            </w:r>
          </w:p>
        </w:tc>
        <w:tc>
          <w:tcPr>
            <w:tcW w:w="4620" w:type="dxa"/>
          </w:tcPr>
          <w:p w:rsidR="00C86CC7" w:rsidRDefault="00000000">
            <w:pPr>
              <w:rPr>
                <w:sz w:val="22"/>
                <w:szCs w:val="22"/>
              </w:rPr>
            </w:pPr>
            <w:r>
              <w:rPr>
                <w:b/>
                <w:sz w:val="22"/>
                <w:szCs w:val="22"/>
              </w:rPr>
              <w:t>Teach 1</w:t>
            </w:r>
            <w:r>
              <w:rPr>
                <w:sz w:val="22"/>
                <w:szCs w:val="22"/>
              </w:rPr>
              <w:t xml:space="preserve">: 3                  </w:t>
            </w:r>
            <w:r>
              <w:rPr>
                <w:b/>
                <w:sz w:val="22"/>
                <w:szCs w:val="22"/>
              </w:rPr>
              <w:t xml:space="preserve">Teach 2: </w:t>
            </w:r>
            <w:r>
              <w:rPr>
                <w:sz w:val="22"/>
                <w:szCs w:val="22"/>
              </w:rPr>
              <w:t>2-3</w:t>
            </w:r>
          </w:p>
        </w:tc>
      </w:tr>
    </w:tbl>
    <w:p w:rsidR="00C86CC7" w:rsidRDefault="00C86CC7">
      <w:pPr>
        <w:rPr>
          <w:sz w:val="22"/>
          <w:szCs w:val="22"/>
        </w:rPr>
      </w:pPr>
    </w:p>
    <w:p w:rsidR="00C86CC7" w:rsidRDefault="00000000">
      <w:pPr>
        <w:rPr>
          <w:sz w:val="22"/>
          <w:szCs w:val="22"/>
        </w:rPr>
      </w:pPr>
      <w:r>
        <w:rPr>
          <w:sz w:val="22"/>
          <w:szCs w:val="22"/>
        </w:rPr>
        <w:t xml:space="preserve">Overall, C’s response to teaching was slight and examiner effort was high. Additionally, C’s ability to transfer learning within and between teaching sessions was low. This type of learning profile is suggestive of atypical learning. The findings of this one authentic assessment should be considered in the larger context of other evaluations or progress monitoring for this student. </w:t>
      </w:r>
    </w:p>
    <w:p w:rsidR="00C86CC7" w:rsidRDefault="00C86CC7"/>
    <w:sectPr w:rsidR="00C86CC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5437" w:rsidRDefault="006C5437" w:rsidP="009D1D0A">
      <w:r>
        <w:separator/>
      </w:r>
    </w:p>
  </w:endnote>
  <w:endnote w:type="continuationSeparator" w:id="0">
    <w:p w:rsidR="006C5437" w:rsidRDefault="006C5437" w:rsidP="009D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5437" w:rsidRDefault="006C5437" w:rsidP="009D1D0A">
      <w:r>
        <w:separator/>
      </w:r>
    </w:p>
  </w:footnote>
  <w:footnote w:type="continuationSeparator" w:id="0">
    <w:p w:rsidR="006C5437" w:rsidRDefault="006C5437" w:rsidP="009D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D0A" w:rsidRPr="009D1D0A" w:rsidRDefault="009D1D0A">
    <w:pPr>
      <w:pStyle w:val="Header"/>
      <w:rPr>
        <w:sz w:val="20"/>
        <w:szCs w:val="20"/>
      </w:rPr>
    </w:pPr>
    <w:r w:rsidRPr="009D1D0A">
      <w:rPr>
        <w:sz w:val="20"/>
        <w:szCs w:val="20"/>
      </w:rPr>
      <w:t>(Mitchell, 2024)</w:t>
    </w:r>
  </w:p>
  <w:p w:rsidR="009D1D0A" w:rsidRDefault="009D1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81ECD"/>
    <w:multiLevelType w:val="multilevel"/>
    <w:tmpl w:val="CCB4A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690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C7"/>
    <w:rsid w:val="006C5437"/>
    <w:rsid w:val="009D1D0A"/>
    <w:rsid w:val="00BC64F2"/>
    <w:rsid w:val="00BE39F1"/>
    <w:rsid w:val="00C8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390CE6"/>
  <w15:docId w15:val="{1A9DDB29-2D3A-744F-8A56-0444D825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0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15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9D1D0A"/>
    <w:pPr>
      <w:tabs>
        <w:tab w:val="center" w:pos="4680"/>
        <w:tab w:val="right" w:pos="9360"/>
      </w:tabs>
    </w:pPr>
  </w:style>
  <w:style w:type="character" w:customStyle="1" w:styleId="HeaderChar">
    <w:name w:val="Header Char"/>
    <w:basedOn w:val="DefaultParagraphFont"/>
    <w:link w:val="Header"/>
    <w:uiPriority w:val="99"/>
    <w:rsid w:val="009D1D0A"/>
  </w:style>
  <w:style w:type="paragraph" w:styleId="Footer">
    <w:name w:val="footer"/>
    <w:basedOn w:val="Normal"/>
    <w:link w:val="FooterChar"/>
    <w:uiPriority w:val="99"/>
    <w:unhideWhenUsed/>
    <w:rsid w:val="009D1D0A"/>
    <w:pPr>
      <w:tabs>
        <w:tab w:val="center" w:pos="4680"/>
        <w:tab w:val="right" w:pos="9360"/>
      </w:tabs>
    </w:pPr>
  </w:style>
  <w:style w:type="character" w:customStyle="1" w:styleId="FooterChar">
    <w:name w:val="Footer Char"/>
    <w:basedOn w:val="DefaultParagraphFont"/>
    <w:link w:val="Footer"/>
    <w:uiPriority w:val="99"/>
    <w:rsid w:val="009D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Im0CrIjYlBpmkC1vL571w1bzuw==">CgMxLjA4AHINMTYwMjAyMDUyNjk4MA==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1818</Characters>
  <Application>Microsoft Office Word</Application>
  <DocSecurity>0</DocSecurity>
  <Lines>26</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2025-02-26T17:34:00Z</dcterms:created>
  <dcterms:modified xsi:type="dcterms:W3CDTF">2025-02-26T17:37:00Z</dcterms:modified>
</cp:coreProperties>
</file>